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A5" w:rsidRDefault="00AC1547" w:rsidP="00DD67A5">
      <w:pPr>
        <w:widowControl w:val="0"/>
        <w:autoSpaceDE w:val="0"/>
        <w:autoSpaceDN w:val="0"/>
        <w:adjustRightInd w:val="0"/>
        <w:spacing w:before="20" w:after="20" w:line="240" w:lineRule="atLeast"/>
        <w:rPr>
          <w:rFonts w:ascii="Helvetica" w:hAnsi="Helvetica" w:cs="Helvetica"/>
          <w:b/>
          <w:bCs/>
          <w:color w:val="313131"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1313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19050</wp:posOffset>
                </wp:positionV>
                <wp:extent cx="7124700" cy="8858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A5" w:rsidRDefault="00DD6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25pt;margin-top:1.5pt;width:56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" filled="f" strokeweight=".5pt">
                <v:path arrowok="t"/>
                <v:textbox>
                  <w:txbxContent>
                    <w:p w:rsidR="00DD67A5" w:rsidRDefault="00DD67A5"/>
                  </w:txbxContent>
                </v:textbox>
              </v:shape>
            </w:pict>
          </mc:Fallback>
        </mc:AlternateContent>
      </w:r>
    </w:p>
    <w:p w:rsidR="00DD67A5" w:rsidRDefault="00DD67A5" w:rsidP="00DD67A5">
      <w:pPr>
        <w:widowControl w:val="0"/>
        <w:autoSpaceDE w:val="0"/>
        <w:autoSpaceDN w:val="0"/>
        <w:adjustRightInd w:val="0"/>
        <w:spacing w:before="20" w:after="20" w:line="240" w:lineRule="atLeast"/>
        <w:rPr>
          <w:rFonts w:ascii="Helvetica" w:hAnsi="Helvetica" w:cs="Helvetica"/>
          <w:b/>
          <w:bCs/>
          <w:color w:val="313131"/>
          <w:sz w:val="40"/>
          <w:szCs w:val="40"/>
        </w:rPr>
      </w:pPr>
      <w:r w:rsidRPr="00DD67A5">
        <w:rPr>
          <w:rFonts w:ascii="Helvetica" w:hAnsi="Helvetica" w:cs="Helvetica"/>
          <w:b/>
          <w:bCs/>
          <w:color w:val="313131"/>
          <w:sz w:val="40"/>
          <w:szCs w:val="40"/>
        </w:rPr>
        <w:t>Program Viability Report: Marketing Management</w:t>
      </w:r>
    </w:p>
    <w:p w:rsidR="00DD67A5" w:rsidRDefault="00DD67A5" w:rsidP="00DD67A5">
      <w:pPr>
        <w:widowControl w:val="0"/>
        <w:autoSpaceDE w:val="0"/>
        <w:autoSpaceDN w:val="0"/>
        <w:adjustRightInd w:val="0"/>
        <w:spacing w:before="20" w:after="20" w:line="240" w:lineRule="atLeast"/>
        <w:rPr>
          <w:rFonts w:ascii="Helvetica" w:hAnsi="Helvetica" w:cs="Helvetica"/>
          <w:b/>
          <w:bCs/>
          <w:color w:val="313131"/>
          <w:sz w:val="40"/>
          <w:szCs w:val="40"/>
        </w:rPr>
      </w:pPr>
    </w:p>
    <w:p w:rsidR="00DD67A5" w:rsidRDefault="00DD67A5" w:rsidP="00DD67A5">
      <w:pPr>
        <w:widowControl w:val="0"/>
        <w:autoSpaceDE w:val="0"/>
        <w:autoSpaceDN w:val="0"/>
        <w:adjustRightInd w:val="0"/>
        <w:spacing w:before="20" w:after="20" w:line="240" w:lineRule="atLeast"/>
        <w:rPr>
          <w:rFonts w:ascii="Helvetica" w:hAnsi="Helvetica" w:cs="Helvetica"/>
          <w:b/>
          <w:bCs/>
          <w:color w:val="313131"/>
          <w:sz w:val="40"/>
          <w:szCs w:val="40"/>
        </w:rPr>
      </w:pPr>
    </w:p>
    <w:p w:rsidR="00DD67A5" w:rsidRDefault="00DD67A5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sz w:val="28"/>
          <w:szCs w:val="28"/>
        </w:rPr>
      </w:pPr>
      <w:r w:rsidRPr="00DD67A5">
        <w:rPr>
          <w:sz w:val="28"/>
          <w:szCs w:val="28"/>
        </w:rPr>
        <w:t>Topline:</w:t>
      </w:r>
    </w:p>
    <w:p w:rsidR="00E41231" w:rsidRDefault="00E41231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</w:p>
    <w:p w:rsidR="00DD67A5" w:rsidRDefault="00E41231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in marketing provides opportunities in a variety of careers ranging from creative jobs in advertising or promotions to more analytical positons in marketing research. This report provides labor market trends and median wages for </w:t>
      </w:r>
      <w:r w:rsidR="00704C2D">
        <w:rPr>
          <w:rFonts w:ascii="Arial" w:hAnsi="Arial" w:cs="Arial"/>
          <w:sz w:val="20"/>
          <w:szCs w:val="20"/>
        </w:rPr>
        <w:t xml:space="preserve">some </w:t>
      </w:r>
      <w:r>
        <w:rPr>
          <w:rFonts w:ascii="Arial" w:hAnsi="Arial" w:cs="Arial"/>
          <w:sz w:val="20"/>
          <w:szCs w:val="20"/>
        </w:rPr>
        <w:t>marketing related</w:t>
      </w:r>
      <w:r w:rsidR="00554B36">
        <w:rPr>
          <w:rFonts w:ascii="Arial" w:hAnsi="Arial" w:cs="Arial"/>
          <w:sz w:val="20"/>
          <w:szCs w:val="20"/>
        </w:rPr>
        <w:t xml:space="preserve"> careers. Over the next five years (2015 to 2020), growth is projected for most marketing related careers. Moreover, median hourly earnings in the Los Angeles MSA outpace the nation’s </w:t>
      </w:r>
      <w:r w:rsidR="003A054E">
        <w:rPr>
          <w:rFonts w:ascii="Arial" w:hAnsi="Arial" w:cs="Arial"/>
          <w:sz w:val="20"/>
          <w:szCs w:val="20"/>
        </w:rPr>
        <w:t>median hourly wage. Among the marketing related careers featured in this summary, Marketing Research Analysts and Marketing Specialists will encounter the most growth as jobs in th</w:t>
      </w:r>
      <w:r w:rsidR="005E72F3">
        <w:rPr>
          <w:rFonts w:ascii="Arial" w:hAnsi="Arial" w:cs="Arial"/>
          <w:sz w:val="20"/>
          <w:szCs w:val="20"/>
        </w:rPr>
        <w:t>is field are projected to increase</w:t>
      </w:r>
      <w:r w:rsidR="003A054E">
        <w:rPr>
          <w:rFonts w:ascii="Arial" w:hAnsi="Arial" w:cs="Arial"/>
          <w:sz w:val="20"/>
          <w:szCs w:val="20"/>
        </w:rPr>
        <w:t xml:space="preserve"> by double-digits in the Los Angeles MSA, LA County, California, United States and PCC service area. </w:t>
      </w:r>
      <w:r w:rsidR="009C772D">
        <w:rPr>
          <w:rFonts w:ascii="Arial" w:hAnsi="Arial" w:cs="Arial"/>
          <w:sz w:val="20"/>
          <w:szCs w:val="20"/>
        </w:rPr>
        <w:t>Moreover, job posting in the Los Angeles MSA are above the national average.</w:t>
      </w:r>
    </w:p>
    <w:p w:rsidR="00831464" w:rsidRDefault="00831464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</w:p>
    <w:p w:rsidR="00831464" w:rsidRDefault="00831464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majority of marketing jobs require a bachelor’s degree or higher.</w:t>
      </w:r>
    </w:p>
    <w:p w:rsidR="003A054E" w:rsidRDefault="003A054E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</w:p>
    <w:p w:rsidR="003A054E" w:rsidRDefault="00474C25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are bullets for the Los Angeles MSA</w:t>
      </w:r>
      <w:r w:rsidR="00831464">
        <w:rPr>
          <w:rFonts w:ascii="Arial" w:hAnsi="Arial" w:cs="Arial"/>
          <w:sz w:val="20"/>
          <w:szCs w:val="20"/>
        </w:rPr>
        <w:t xml:space="preserve"> from 2015 to 2020</w:t>
      </w:r>
      <w:r>
        <w:rPr>
          <w:rFonts w:ascii="Arial" w:hAnsi="Arial" w:cs="Arial"/>
          <w:sz w:val="20"/>
          <w:szCs w:val="20"/>
        </w:rPr>
        <w:t xml:space="preserve"> for each occupation featured in the report:</w:t>
      </w:r>
    </w:p>
    <w:p w:rsidR="00474C25" w:rsidRPr="00E41231" w:rsidRDefault="00474C25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  <w:sz w:val="20"/>
          <w:szCs w:val="20"/>
        </w:rPr>
      </w:pPr>
    </w:p>
    <w:p w:rsidR="00DD67A5" w:rsidRDefault="009C772D" w:rsidP="00474C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  <w:r w:rsidRPr="00474C25">
        <w:rPr>
          <w:rFonts w:ascii="Helvetica" w:hAnsi="Helvetica" w:cs="Helvetica"/>
          <w:b/>
          <w:bCs/>
          <w:color w:val="313131"/>
          <w:sz w:val="20"/>
          <w:szCs w:val="20"/>
        </w:rPr>
        <w:t>Market Research Analysts and Marketing Specialists</w:t>
      </w:r>
      <w:r w:rsidR="00474C25" w:rsidRPr="00474C25">
        <w:rPr>
          <w:rFonts w:ascii="Helvetica" w:hAnsi="Helvetica" w:cs="Helvetica"/>
          <w:b/>
          <w:bCs/>
          <w:color w:val="313131"/>
          <w:sz w:val="20"/>
          <w:szCs w:val="20"/>
        </w:rPr>
        <w:t xml:space="preserve"> </w:t>
      </w:r>
      <w:r w:rsidR="00474C25">
        <w:rPr>
          <w:rFonts w:ascii="Helvetica" w:hAnsi="Helvetica" w:cs="Helvetica"/>
          <w:bCs/>
          <w:color w:val="313131"/>
          <w:sz w:val="20"/>
          <w:szCs w:val="20"/>
        </w:rPr>
        <w:t>are projected to grow by 10.3%; current median hourly earning equal $30.86.</w:t>
      </w:r>
    </w:p>
    <w:p w:rsidR="006706D2" w:rsidRPr="006706D2" w:rsidRDefault="006706D2" w:rsidP="006706D2">
      <w:pPr>
        <w:pStyle w:val="ListParagraph"/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</w:p>
    <w:p w:rsidR="006706D2" w:rsidRDefault="00474C25" w:rsidP="00C668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  <w:r w:rsidRPr="006706D2">
        <w:rPr>
          <w:rFonts w:ascii="Helvetica" w:hAnsi="Helvetica" w:cs="Helvetica"/>
          <w:b/>
          <w:bCs/>
          <w:color w:val="313131"/>
          <w:sz w:val="20"/>
          <w:szCs w:val="20"/>
        </w:rPr>
        <w:t xml:space="preserve">Marketing Managers </w:t>
      </w:r>
      <w:r w:rsidRPr="006706D2">
        <w:rPr>
          <w:rFonts w:ascii="Helvetica" w:hAnsi="Helvetica" w:cs="Helvetica"/>
          <w:bCs/>
          <w:color w:val="313131"/>
          <w:sz w:val="20"/>
          <w:szCs w:val="20"/>
        </w:rPr>
        <w:t>are projected to grow by 4.6%</w:t>
      </w:r>
      <w:r w:rsidR="006706D2" w:rsidRPr="006706D2">
        <w:rPr>
          <w:rFonts w:ascii="Helvetica" w:hAnsi="Helvetica" w:cs="Helvetica"/>
          <w:bCs/>
          <w:color w:val="313131"/>
          <w:sz w:val="20"/>
          <w:szCs w:val="20"/>
        </w:rPr>
        <w:t>; median hourly wages</w:t>
      </w:r>
      <w:r w:rsidR="006706D2">
        <w:rPr>
          <w:rFonts w:ascii="Helvetica" w:hAnsi="Helvetica" w:cs="Helvetica"/>
          <w:bCs/>
          <w:color w:val="313131"/>
          <w:sz w:val="20"/>
          <w:szCs w:val="20"/>
        </w:rPr>
        <w:t xml:space="preserve"> equal $61.57</w:t>
      </w:r>
      <w:r w:rsidR="00831464">
        <w:rPr>
          <w:rFonts w:ascii="Helvetica" w:hAnsi="Helvetica" w:cs="Helvetica"/>
          <w:bCs/>
          <w:color w:val="313131"/>
          <w:sz w:val="20"/>
          <w:szCs w:val="20"/>
        </w:rPr>
        <w:t>.</w:t>
      </w:r>
    </w:p>
    <w:p w:rsidR="006706D2" w:rsidRPr="006706D2" w:rsidRDefault="006706D2" w:rsidP="006706D2">
      <w:pPr>
        <w:pStyle w:val="ListParagraph"/>
        <w:rPr>
          <w:rFonts w:ascii="Helvetica" w:hAnsi="Helvetica" w:cs="Helvetica"/>
          <w:bCs/>
          <w:color w:val="313131"/>
          <w:sz w:val="20"/>
          <w:szCs w:val="20"/>
        </w:rPr>
      </w:pPr>
    </w:p>
    <w:p w:rsidR="006706D2" w:rsidRPr="00831464" w:rsidRDefault="00831464" w:rsidP="00C668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/>
          <w:bCs/>
          <w:color w:val="313131"/>
          <w:sz w:val="20"/>
          <w:szCs w:val="20"/>
        </w:rPr>
      </w:pPr>
      <w:r w:rsidRPr="00831464">
        <w:rPr>
          <w:rFonts w:ascii="Helvetica" w:hAnsi="Helvetica" w:cs="Helvetica"/>
          <w:b/>
          <w:bCs/>
          <w:color w:val="313131"/>
          <w:sz w:val="20"/>
          <w:szCs w:val="20"/>
        </w:rPr>
        <w:t xml:space="preserve">Advertising and Promotions Manager </w:t>
      </w:r>
      <w:r>
        <w:rPr>
          <w:rFonts w:ascii="Helvetica" w:hAnsi="Helvetica" w:cs="Helvetica"/>
          <w:bCs/>
          <w:color w:val="313131"/>
          <w:sz w:val="20"/>
          <w:szCs w:val="20"/>
        </w:rPr>
        <w:t>is projected to increase by 5.0%; median hourly wages equal $54.20.</w:t>
      </w:r>
    </w:p>
    <w:p w:rsidR="00831464" w:rsidRPr="00831464" w:rsidRDefault="00831464" w:rsidP="00831464">
      <w:pPr>
        <w:pStyle w:val="ListParagraph"/>
        <w:rPr>
          <w:rFonts w:ascii="Helvetica" w:hAnsi="Helvetica" w:cs="Helvetica"/>
          <w:b/>
          <w:bCs/>
          <w:color w:val="313131"/>
          <w:sz w:val="20"/>
          <w:szCs w:val="20"/>
        </w:rPr>
      </w:pPr>
    </w:p>
    <w:p w:rsidR="00831464" w:rsidRPr="00831464" w:rsidRDefault="00831464" w:rsidP="00C668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/>
          <w:bCs/>
          <w:color w:val="313131"/>
          <w:sz w:val="20"/>
          <w:szCs w:val="20"/>
        </w:rPr>
      </w:pPr>
      <w:r>
        <w:rPr>
          <w:rFonts w:ascii="Helvetica" w:hAnsi="Helvetica" w:cs="Helvetica"/>
          <w:b/>
          <w:bCs/>
          <w:color w:val="313131"/>
          <w:sz w:val="20"/>
          <w:szCs w:val="20"/>
        </w:rPr>
        <w:t xml:space="preserve">Public Relations Specialist </w:t>
      </w:r>
      <w:r>
        <w:rPr>
          <w:rFonts w:ascii="Helvetica" w:hAnsi="Helvetica" w:cs="Helvetica"/>
          <w:bCs/>
          <w:color w:val="313131"/>
          <w:sz w:val="20"/>
          <w:szCs w:val="20"/>
        </w:rPr>
        <w:t>are projected to increase by 8.4%; median hourly wages equal $31.01.</w:t>
      </w:r>
    </w:p>
    <w:p w:rsidR="00831464" w:rsidRPr="00831464" w:rsidRDefault="00831464" w:rsidP="00831464">
      <w:pPr>
        <w:pStyle w:val="ListParagraph"/>
        <w:rPr>
          <w:rFonts w:ascii="Helvetica" w:hAnsi="Helvetica" w:cs="Helvetica"/>
          <w:b/>
          <w:bCs/>
          <w:color w:val="313131"/>
          <w:sz w:val="20"/>
          <w:szCs w:val="20"/>
        </w:rPr>
      </w:pPr>
    </w:p>
    <w:p w:rsidR="00831464" w:rsidRDefault="00333B30" w:rsidP="00C668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  <w:r>
        <w:rPr>
          <w:rFonts w:ascii="Helvetica" w:hAnsi="Helvetica" w:cs="Helvetica"/>
          <w:b/>
          <w:bCs/>
          <w:color w:val="313131"/>
          <w:sz w:val="20"/>
          <w:szCs w:val="20"/>
        </w:rPr>
        <w:t xml:space="preserve">Public Relations and Fundraising Manager </w:t>
      </w:r>
      <w:r w:rsidR="005E72F3" w:rsidRPr="005E72F3">
        <w:rPr>
          <w:rFonts w:ascii="Helvetica" w:hAnsi="Helvetica" w:cs="Helvetica"/>
          <w:bCs/>
          <w:color w:val="313131"/>
          <w:sz w:val="20"/>
          <w:szCs w:val="20"/>
        </w:rPr>
        <w:t>are projected to grow by 8.8%; median hourly wages equal $49.15.</w:t>
      </w:r>
    </w:p>
    <w:p w:rsidR="005E72F3" w:rsidRPr="005E72F3" w:rsidRDefault="005E72F3" w:rsidP="005E72F3">
      <w:pPr>
        <w:pStyle w:val="ListParagraph"/>
        <w:rPr>
          <w:rFonts w:ascii="Helvetica" w:hAnsi="Helvetica" w:cs="Helvetica"/>
          <w:bCs/>
          <w:color w:val="313131"/>
          <w:sz w:val="20"/>
          <w:szCs w:val="20"/>
        </w:rPr>
      </w:pPr>
    </w:p>
    <w:p w:rsidR="005E72F3" w:rsidRPr="005E72F3" w:rsidRDefault="005E72F3" w:rsidP="00C668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  <w:r w:rsidRPr="005E72F3">
        <w:rPr>
          <w:rFonts w:ascii="Helvetica" w:hAnsi="Helvetica" w:cs="Helvetica"/>
          <w:b/>
          <w:bCs/>
          <w:color w:val="313131"/>
          <w:sz w:val="20"/>
          <w:szCs w:val="20"/>
        </w:rPr>
        <w:t>Sales Representatives</w:t>
      </w:r>
      <w:r>
        <w:rPr>
          <w:rFonts w:ascii="Helvetica" w:hAnsi="Helvetica" w:cs="Helvetica"/>
          <w:bCs/>
          <w:color w:val="313131"/>
          <w:sz w:val="20"/>
          <w:szCs w:val="20"/>
        </w:rPr>
        <w:t xml:space="preserve"> are projected to increase by 2.5%; median hourly wages equal $24.69.</w:t>
      </w:r>
    </w:p>
    <w:p w:rsidR="006706D2" w:rsidRDefault="006706D2" w:rsidP="006706D2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</w:p>
    <w:p w:rsidR="006706D2" w:rsidRPr="006706D2" w:rsidRDefault="006706D2" w:rsidP="006706D2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</w:p>
    <w:p w:rsidR="00474C25" w:rsidRDefault="00474C25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Cs/>
          <w:color w:val="313131"/>
          <w:sz w:val="20"/>
          <w:szCs w:val="20"/>
        </w:rPr>
      </w:pPr>
    </w:p>
    <w:p w:rsidR="00474C25" w:rsidRPr="00474C25" w:rsidRDefault="00474C25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sz w:val="20"/>
          <w:szCs w:val="20"/>
        </w:rPr>
      </w:pPr>
    </w:p>
    <w:p w:rsidR="00DD67A5" w:rsidRPr="00DD67A5" w:rsidRDefault="00DD67A5" w:rsidP="00DD67A5">
      <w:pPr>
        <w:widowControl w:val="0"/>
        <w:autoSpaceDE w:val="0"/>
        <w:autoSpaceDN w:val="0"/>
        <w:adjustRightInd w:val="0"/>
        <w:spacing w:before="20" w:after="20" w:line="240" w:lineRule="atLeast"/>
        <w:jc w:val="both"/>
        <w:rPr>
          <w:rFonts w:ascii="Arial" w:hAnsi="Arial" w:cs="Arial"/>
        </w:rPr>
      </w:pPr>
    </w:p>
    <w:p w:rsidR="0063204B" w:rsidRPr="00DD67A5" w:rsidRDefault="0063204B" w:rsidP="00DD6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 w:line="240" w:lineRule="atLeast"/>
        <w:jc w:val="both"/>
        <w:rPr>
          <w:rFonts w:ascii="Helvetica" w:hAnsi="Helvetica" w:cs="Helvetica"/>
          <w:b/>
          <w:bCs/>
          <w:color w:val="313131"/>
          <w:sz w:val="28"/>
          <w:szCs w:val="28"/>
        </w:rPr>
      </w:pPr>
      <w:r w:rsidRPr="00DD67A5">
        <w:rPr>
          <w:sz w:val="28"/>
          <w:szCs w:val="28"/>
        </w:rPr>
        <w:br w:type="page"/>
      </w:r>
    </w:p>
    <w:tbl>
      <w:tblPr>
        <w:tblW w:w="100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7125DA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Market Research Analysts and Marketing Specialists</w:t>
            </w:r>
          </w:p>
        </w:tc>
      </w:tr>
    </w:tbl>
    <w:p w:rsidR="007125DA" w:rsidRDefault="007125DA" w:rsidP="007125DA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7125DA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2015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2020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7125DA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MSA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29,799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32,874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3,075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10.3%</w:t>
            </w:r>
          </w:p>
        </w:tc>
      </w:tr>
      <w:tr w:rsidR="007125DA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County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20,924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23,068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2,144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10.2%</w:t>
            </w:r>
          </w:p>
        </w:tc>
      </w:tr>
      <w:tr w:rsidR="007125DA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81,810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93,038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11,228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13.7%</w:t>
            </w:r>
          </w:p>
        </w:tc>
      </w:tr>
      <w:tr w:rsidR="007125DA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514,396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581,351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66,955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13.0%</w:t>
            </w:r>
          </w:p>
        </w:tc>
      </w:tr>
      <w:tr w:rsidR="007125DA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E0C821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PCC Service Area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1,026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1,155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12.6%</w:t>
            </w:r>
          </w:p>
        </w:tc>
      </w:tr>
    </w:tbl>
    <w:p w:rsidR="007553F0" w:rsidRDefault="007553F0"/>
    <w:tbl>
      <w:tblPr>
        <w:tblW w:w="100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2C3E14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Market Research Analysts and Marketing Specialists </w:t>
            </w:r>
          </w:p>
        </w:tc>
      </w:tr>
      <w:tr w:rsidR="002C3E14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30,818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10.3%</w:t>
            </w:r>
          </w:p>
        </w:tc>
        <w:tc>
          <w:tcPr>
            <w:tcW w:w="336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$30.86/hr</w:t>
            </w:r>
          </w:p>
        </w:tc>
      </w:tr>
      <w:tr w:rsidR="002C3E14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(2015-2020)</w:t>
            </w:r>
          </w:p>
        </w:tc>
        <w:tc>
          <w:tcPr>
            <w:tcW w:w="336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2C3E14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37% above National average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13.0%</w:t>
            </w:r>
          </w:p>
        </w:tc>
        <w:tc>
          <w:tcPr>
            <w:tcW w:w="336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$29.92/hr</w:t>
            </w:r>
          </w:p>
        </w:tc>
      </w:tr>
    </w:tbl>
    <w:p w:rsidR="002C3E14" w:rsidRDefault="002C3E14"/>
    <w:p w:rsidR="007553F0" w:rsidRDefault="007553F0">
      <w:r>
        <w:br w:type="page"/>
      </w:r>
    </w:p>
    <w:tbl>
      <w:tblPr>
        <w:tblW w:w="10261" w:type="dxa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1"/>
      </w:tblGrid>
      <w:tr w:rsidR="007125DA">
        <w:tc>
          <w:tcPr>
            <w:tcW w:w="1026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Marketing Managers</w:t>
            </w:r>
          </w:p>
        </w:tc>
      </w:tr>
    </w:tbl>
    <w:p w:rsidR="007125DA" w:rsidRDefault="007125DA" w:rsidP="007125DA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1936"/>
        <w:gridCol w:w="1058"/>
        <w:gridCol w:w="1418"/>
        <w:gridCol w:w="884"/>
        <w:gridCol w:w="534"/>
        <w:gridCol w:w="1418"/>
        <w:gridCol w:w="1409"/>
        <w:gridCol w:w="9"/>
      </w:tblGrid>
      <w:tr w:rsidR="007125DA">
        <w:trPr>
          <w:gridBefore w:val="1"/>
          <w:wBefore w:w="6" w:type="dxa"/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2015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2020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7125DA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MSA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11,145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11,662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517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4.6%</w:t>
            </w:r>
          </w:p>
        </w:tc>
      </w:tr>
      <w:tr w:rsidR="007125DA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County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7,436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7,754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318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4.3%</w:t>
            </w:r>
          </w:p>
        </w:tc>
      </w:tr>
      <w:tr w:rsidR="007125DA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35,256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38,317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3,061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8.7%</w:t>
            </w:r>
          </w:p>
        </w:tc>
      </w:tr>
      <w:tr w:rsidR="007125DA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203,165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220,756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17,591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8.7%</w:t>
            </w:r>
          </w:p>
        </w:tc>
      </w:tr>
      <w:tr w:rsidR="007125DA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E0C821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PCC Service Area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378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404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7125DA" w:rsidRDefault="007125DA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6.9%</w:t>
            </w:r>
          </w:p>
        </w:tc>
      </w:tr>
      <w:tr w:rsidR="002C3E14">
        <w:trPr>
          <w:gridAfter w:val="1"/>
          <w:wAfter w:w="9" w:type="dxa"/>
        </w:trPr>
        <w:tc>
          <w:tcPr>
            <w:tcW w:w="10081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Marketing Managers </w:t>
            </w:r>
          </w:p>
        </w:tc>
      </w:tr>
      <w:tr w:rsidR="002C3E14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11,406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4.6%</w:t>
            </w:r>
          </w:p>
        </w:tc>
        <w:tc>
          <w:tcPr>
            <w:tcW w:w="3361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$61.57/hr</w:t>
            </w:r>
          </w:p>
        </w:tc>
      </w:tr>
      <w:tr w:rsidR="002C3E14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(2015-2020)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2C3E14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29% above National average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8.7%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C3E14" w:rsidRDefault="002C3E14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$59.46/hr</w:t>
            </w:r>
          </w:p>
        </w:tc>
      </w:tr>
    </w:tbl>
    <w:p w:rsidR="007125DA" w:rsidRDefault="007125DA" w:rsidP="0071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5DA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AB232D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Advertising and Promotions Manager</w:t>
            </w:r>
          </w:p>
        </w:tc>
      </w:tr>
    </w:tbl>
    <w:p w:rsidR="00AB232D" w:rsidRDefault="00AB232D" w:rsidP="00AB232D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1936"/>
        <w:gridCol w:w="1058"/>
        <w:gridCol w:w="1418"/>
        <w:gridCol w:w="884"/>
        <w:gridCol w:w="534"/>
        <w:gridCol w:w="1418"/>
        <w:gridCol w:w="1409"/>
        <w:gridCol w:w="9"/>
      </w:tblGrid>
      <w:tr w:rsidR="00AB232D">
        <w:trPr>
          <w:gridBefore w:val="1"/>
          <w:wBefore w:w="6" w:type="dxa"/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2015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2020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AB232D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MSA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2,274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2,388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5.0%</w:t>
            </w:r>
          </w:p>
        </w:tc>
      </w:tr>
      <w:tr w:rsidR="00AB232D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County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1,837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1,951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6.2%</w:t>
            </w:r>
          </w:p>
        </w:tc>
      </w:tr>
      <w:tr w:rsidR="00AB232D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4,820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5,167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347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7.2%</w:t>
            </w:r>
          </w:p>
        </w:tc>
      </w:tr>
      <w:tr w:rsidR="00AB232D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32,555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34,351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1,796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5.5%</w:t>
            </w:r>
          </w:p>
        </w:tc>
      </w:tr>
      <w:tr w:rsidR="00AB232D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E0C821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PCC Service Area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AB232D" w:rsidRDefault="00AB232D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4.5%</w:t>
            </w:r>
          </w:p>
        </w:tc>
      </w:tr>
      <w:tr w:rsidR="00750E80">
        <w:trPr>
          <w:gridAfter w:val="1"/>
          <w:wAfter w:w="9" w:type="dxa"/>
        </w:trPr>
        <w:tc>
          <w:tcPr>
            <w:tcW w:w="10081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Advertising and Promotions Managers </w:t>
            </w:r>
          </w:p>
        </w:tc>
      </w:tr>
      <w:tr w:rsidR="00750E80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2,339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5.0%</w:t>
            </w:r>
          </w:p>
        </w:tc>
        <w:tc>
          <w:tcPr>
            <w:tcW w:w="3361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$54.20/hr</w:t>
            </w:r>
          </w:p>
        </w:tc>
      </w:tr>
      <w:tr w:rsidR="00750E80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(2015-2020)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750E80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66% above National average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5.5%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750E80" w:rsidRDefault="00750E8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$48.40/hr</w:t>
            </w:r>
          </w:p>
        </w:tc>
      </w:tr>
    </w:tbl>
    <w:p w:rsidR="007553F0" w:rsidRDefault="007553F0">
      <w:r>
        <w:br w:type="page"/>
      </w:r>
    </w:p>
    <w:tbl>
      <w:tblPr>
        <w:tblW w:w="100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373F9C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Public Relation Specialist</w:t>
            </w:r>
          </w:p>
        </w:tc>
      </w:tr>
    </w:tbl>
    <w:p w:rsidR="00373F9C" w:rsidRDefault="00373F9C" w:rsidP="00373F9C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42"/>
        <w:gridCol w:w="1052"/>
        <w:gridCol w:w="1418"/>
        <w:gridCol w:w="890"/>
        <w:gridCol w:w="528"/>
        <w:gridCol w:w="1418"/>
        <w:gridCol w:w="1418"/>
      </w:tblGrid>
      <w:tr w:rsidR="00373F9C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2015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2020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373F9C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MSA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9,176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9,949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773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8.4%</w:t>
            </w:r>
          </w:p>
        </w:tc>
      </w:tr>
      <w:tr w:rsidR="00373F9C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County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7,488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8,159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671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9.0%</w:t>
            </w:r>
          </w:p>
        </w:tc>
      </w:tr>
      <w:tr w:rsidR="00373F9C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25,525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28,027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2,502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9.8%</w:t>
            </w:r>
          </w:p>
        </w:tc>
      </w:tr>
      <w:tr w:rsidR="00373F9C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232,165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248,689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16,524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7.1%</w:t>
            </w:r>
          </w:p>
        </w:tc>
      </w:tr>
      <w:tr w:rsidR="00373F9C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E0C821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PCC Service Area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387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373F9C" w:rsidRDefault="00373F9C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9.0%</w:t>
            </w:r>
          </w:p>
        </w:tc>
      </w:tr>
      <w:tr w:rsidR="00360250">
        <w:tc>
          <w:tcPr>
            <w:tcW w:w="10081" w:type="dxa"/>
            <w:gridSpan w:val="8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Public Relations Specialists </w:t>
            </w:r>
          </w:p>
        </w:tc>
      </w:tr>
      <w:tr w:rsidR="00360250"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9,460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8.4%</w:t>
            </w:r>
          </w:p>
        </w:tc>
        <w:tc>
          <w:tcPr>
            <w:tcW w:w="3361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$31.01/hr</w:t>
            </w:r>
          </w:p>
        </w:tc>
      </w:tr>
      <w:tr w:rsidR="00360250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(2015-2020)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360250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5% below National average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7.1%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360250" w:rsidRDefault="00360250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$27.53/hr</w:t>
            </w:r>
          </w:p>
        </w:tc>
      </w:tr>
    </w:tbl>
    <w:p w:rsidR="007553F0" w:rsidRDefault="007553F0">
      <w:r>
        <w:br w:type="page"/>
      </w:r>
    </w:p>
    <w:tbl>
      <w:tblPr>
        <w:tblW w:w="100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C277B0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C277B0" w:rsidRDefault="00551CDF" w:rsidP="00551CDF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F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Public Relations and Fundraising Managers</w:t>
            </w:r>
          </w:p>
        </w:tc>
      </w:tr>
    </w:tbl>
    <w:p w:rsidR="00C277B0" w:rsidRDefault="00C277B0" w:rsidP="00C277B0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1936"/>
        <w:gridCol w:w="1058"/>
        <w:gridCol w:w="1418"/>
        <w:gridCol w:w="884"/>
        <w:gridCol w:w="534"/>
        <w:gridCol w:w="1418"/>
        <w:gridCol w:w="1409"/>
        <w:gridCol w:w="9"/>
      </w:tblGrid>
      <w:tr w:rsidR="00C277B0">
        <w:trPr>
          <w:gridBefore w:val="1"/>
          <w:wBefore w:w="6" w:type="dxa"/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2015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2020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C277B0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MSA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2,558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2,784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226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8.8%</w:t>
            </w:r>
          </w:p>
        </w:tc>
      </w:tr>
      <w:tr w:rsidR="00C277B0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County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1,973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2,166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9.8%</w:t>
            </w:r>
          </w:p>
        </w:tc>
      </w:tr>
      <w:tr w:rsidR="00C277B0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7,253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8,004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751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10.4%</w:t>
            </w:r>
          </w:p>
        </w:tc>
      </w:tr>
      <w:tr w:rsidR="00C277B0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62,123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66,945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4,822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7.8%</w:t>
            </w:r>
          </w:p>
        </w:tc>
      </w:tr>
      <w:tr w:rsidR="00C277B0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E0C821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PCC Service Area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C277B0" w:rsidRDefault="00C277B0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9.9%</w:t>
            </w:r>
          </w:p>
        </w:tc>
      </w:tr>
      <w:tr w:rsidR="00551CDF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551CDF" w:rsidRDefault="00551CDF" w:rsidP="00551CDF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color w:val="E0C821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color w:val="3131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Helvetica" w:hAnsi="Helvetica" w:cs="Helvetica"/>
                <w:color w:val="31313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Helvetica" w:hAnsi="Helvetica" w:cs="Helvetica"/>
                <w:color w:val="31313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Helvetica" w:hAnsi="Helvetica" w:cs="Helvetica"/>
                <w:color w:val="31313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Helvetica" w:hAnsi="Helvetica" w:cs="Helvetica"/>
                <w:color w:val="313131"/>
                <w:sz w:val="20"/>
                <w:szCs w:val="20"/>
              </w:rPr>
            </w:pPr>
          </w:p>
        </w:tc>
      </w:tr>
      <w:tr w:rsidR="00551CDF">
        <w:trPr>
          <w:gridAfter w:val="1"/>
          <w:wAfter w:w="9" w:type="dxa"/>
        </w:trPr>
        <w:tc>
          <w:tcPr>
            <w:tcW w:w="10081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45F3B" w:rsidRDefault="00845F3B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845F3B" w:rsidRDefault="00845F3B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Public Relations and Fundraising Managers </w:t>
            </w:r>
          </w:p>
        </w:tc>
      </w:tr>
      <w:tr w:rsidR="00551CDF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2,631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8.8%</w:t>
            </w:r>
          </w:p>
        </w:tc>
        <w:tc>
          <w:tcPr>
            <w:tcW w:w="3361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$49.15/hr</w:t>
            </w:r>
          </w:p>
        </w:tc>
      </w:tr>
      <w:tr w:rsidR="00551CDF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(2015-2020)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551CDF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2% below National average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7.8%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551CDF" w:rsidRDefault="00551CDF" w:rsidP="002E57EA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$50.59/hr</w:t>
            </w:r>
          </w:p>
        </w:tc>
      </w:tr>
    </w:tbl>
    <w:p w:rsidR="00C277B0" w:rsidRDefault="00C277B0" w:rsidP="00C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77B0">
          <w:footerReference w:type="default" r:id="rId13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845F3B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Occupation Summary for Sales Representatives, Wholesale and Manufacturing, Except Technical and Scientific Products</w:t>
            </w:r>
          </w:p>
        </w:tc>
      </w:tr>
    </w:tbl>
    <w:p w:rsidR="00845F3B" w:rsidRDefault="00845F3B" w:rsidP="00845F3B">
      <w:pPr>
        <w:widowControl w:val="0"/>
        <w:autoSpaceDE w:val="0"/>
        <w:autoSpaceDN w:val="0"/>
        <w:adjustRightInd w:val="0"/>
        <w:spacing w:before="200" w:after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1936"/>
        <w:gridCol w:w="1058"/>
        <w:gridCol w:w="1418"/>
        <w:gridCol w:w="884"/>
        <w:gridCol w:w="534"/>
        <w:gridCol w:w="1418"/>
        <w:gridCol w:w="1409"/>
        <w:gridCol w:w="9"/>
      </w:tblGrid>
      <w:tr w:rsidR="00845F3B">
        <w:trPr>
          <w:gridBefore w:val="1"/>
          <w:wBefore w:w="6" w:type="dxa"/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2015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2020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845F3B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MSA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66,819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68,519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1,700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2.5%</w:t>
            </w:r>
          </w:p>
        </w:tc>
      </w:tr>
      <w:tr w:rsidR="00845F3B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LA County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48,853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50,142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1,289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2.6%</w:t>
            </w:r>
          </w:p>
        </w:tc>
      </w:tr>
      <w:tr w:rsidR="00845F3B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ABDAFC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California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160,065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172,087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12,022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7.5%</w:t>
            </w:r>
          </w:p>
        </w:tc>
      </w:tr>
      <w:tr w:rsidR="00845F3B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United States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1,488,109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1,552,203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64,094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4.3%</w:t>
            </w:r>
          </w:p>
        </w:tc>
      </w:tr>
      <w:tr w:rsidR="00845F3B">
        <w:trPr>
          <w:gridBefore w:val="1"/>
          <w:wBefore w:w="6" w:type="dxa"/>
        </w:trPr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E0C821"/>
                <w:sz w:val="20"/>
                <w:szCs w:val="20"/>
              </w:rPr>
              <w:t>●</w:t>
            </w:r>
          </w:p>
        </w:tc>
        <w:tc>
          <w:tcPr>
            <w:tcW w:w="2994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PCC Service Area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970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1,025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5.7%</w:t>
            </w:r>
          </w:p>
        </w:tc>
      </w:tr>
      <w:tr w:rsidR="00845F3B">
        <w:trPr>
          <w:gridAfter w:val="1"/>
          <w:wAfter w:w="9" w:type="dxa"/>
        </w:trPr>
        <w:tc>
          <w:tcPr>
            <w:tcW w:w="10081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Sales Representatives, Wholesale and Manufacturing, Except Technical and Scientific Products </w:t>
            </w:r>
          </w:p>
        </w:tc>
      </w:tr>
      <w:tr w:rsidR="00845F3B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67,771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2.5%</w:t>
            </w:r>
          </w:p>
        </w:tc>
        <w:tc>
          <w:tcPr>
            <w:tcW w:w="3361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$24.69/hr</w:t>
            </w:r>
          </w:p>
        </w:tc>
      </w:tr>
      <w:tr w:rsidR="00845F3B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(2016)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(2015-2020)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845F3B">
        <w:trPr>
          <w:gridAfter w:val="1"/>
          <w:wAfter w:w="9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6% above National average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4.3%</w:t>
            </w:r>
          </w:p>
        </w:tc>
        <w:tc>
          <w:tcPr>
            <w:tcW w:w="3361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845F3B" w:rsidRDefault="00845F3B" w:rsidP="006E0AC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$26.25/hr</w:t>
            </w:r>
          </w:p>
        </w:tc>
      </w:tr>
    </w:tbl>
    <w:p w:rsidR="00C277B0" w:rsidRDefault="00C277B0"/>
    <w:sectPr w:rsidR="00C277B0" w:rsidSect="0002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0E" w:rsidRDefault="00CD310E">
      <w:pPr>
        <w:spacing w:after="0" w:line="240" w:lineRule="auto"/>
      </w:pPr>
      <w:r>
        <w:separator/>
      </w:r>
    </w:p>
  </w:endnote>
  <w:endnote w:type="continuationSeparator" w:id="0">
    <w:p w:rsidR="00CD310E" w:rsidRDefault="00CD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47631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47631B" w:rsidRDefault="00AC1547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510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47631B" w:rsidRDefault="007125DA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Q2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47631B" w:rsidRDefault="007125DA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C277B0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C277B0" w:rsidRDefault="00C277B0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C277B0" w:rsidRDefault="00C277B0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Q2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C277B0" w:rsidRDefault="00C277B0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0E" w:rsidRDefault="00CD310E">
      <w:pPr>
        <w:spacing w:after="0" w:line="240" w:lineRule="auto"/>
      </w:pPr>
      <w:r>
        <w:separator/>
      </w:r>
    </w:p>
  </w:footnote>
  <w:footnote w:type="continuationSeparator" w:id="0">
    <w:p w:rsidR="00CD310E" w:rsidRDefault="00CD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67A"/>
    <w:multiLevelType w:val="hybridMultilevel"/>
    <w:tmpl w:val="8C9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455"/>
    <w:multiLevelType w:val="hybridMultilevel"/>
    <w:tmpl w:val="73CAAB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A"/>
    <w:rsid w:val="00026A5B"/>
    <w:rsid w:val="002C3E14"/>
    <w:rsid w:val="002E57EA"/>
    <w:rsid w:val="00333B30"/>
    <w:rsid w:val="00355BCD"/>
    <w:rsid w:val="00360250"/>
    <w:rsid w:val="00373F9C"/>
    <w:rsid w:val="003A054E"/>
    <w:rsid w:val="003F1D06"/>
    <w:rsid w:val="00474C25"/>
    <w:rsid w:val="0047631B"/>
    <w:rsid w:val="00551CDF"/>
    <w:rsid w:val="00554B36"/>
    <w:rsid w:val="005E72F3"/>
    <w:rsid w:val="0063204B"/>
    <w:rsid w:val="006706D2"/>
    <w:rsid w:val="00704C2D"/>
    <w:rsid w:val="007125DA"/>
    <w:rsid w:val="00750E80"/>
    <w:rsid w:val="007553F0"/>
    <w:rsid w:val="00831464"/>
    <w:rsid w:val="00835CDB"/>
    <w:rsid w:val="00845F3B"/>
    <w:rsid w:val="009B4B86"/>
    <w:rsid w:val="009C772D"/>
    <w:rsid w:val="00AB232D"/>
    <w:rsid w:val="00AC1547"/>
    <w:rsid w:val="00C277B0"/>
    <w:rsid w:val="00CD310E"/>
    <w:rsid w:val="00DD67A5"/>
    <w:rsid w:val="00E41231"/>
    <w:rsid w:val="00F0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4DE4D-70E3-4D86-B742-DD0BADF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Tanysha Q. Laney</dc:creator>
  <cp:keywords/>
  <dc:description/>
  <cp:lastModifiedBy>Sergio Barron</cp:lastModifiedBy>
  <cp:revision>2</cp:revision>
  <dcterms:created xsi:type="dcterms:W3CDTF">2021-09-13T19:22:00Z</dcterms:created>
  <dcterms:modified xsi:type="dcterms:W3CDTF">2021-09-13T19:22:00Z</dcterms:modified>
</cp:coreProperties>
</file>